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kern w:val="2"/>
          <w:sz w:val="36"/>
          <w:szCs w:val="36"/>
          <w:lang w:val="en-US" w:eastAsia="zh-CN" w:bidi="ar-SA"/>
        </w:rPr>
      </w:pPr>
      <w:r>
        <w:rPr>
          <w:rFonts w:hint="eastAsia" w:ascii="方正小标宋简体" w:hAnsi="方正小标宋简体" w:eastAsia="方正小标宋简体" w:cs="方正小标宋简体"/>
          <w:b w:val="0"/>
          <w:kern w:val="2"/>
          <w:sz w:val="36"/>
          <w:szCs w:val="36"/>
          <w:lang w:val="en-US" w:eastAsia="zh-CN" w:bidi="ar-SA"/>
        </w:rPr>
        <w:t>福建省锅炉压力容器检验研究院易制毒</w:t>
      </w:r>
    </w:p>
    <w:p>
      <w:pPr>
        <w:pStyle w:val="2"/>
        <w:pageBreakBefore w:val="0"/>
        <w:widowControl w:val="0"/>
        <w:kinsoku/>
        <w:wordWrap/>
        <w:overflowPunct/>
        <w:topLinePunct w:val="0"/>
        <w:autoSpaceDE/>
        <w:autoSpaceDN/>
        <w:bidi w:val="0"/>
        <w:adjustRightInd/>
        <w:snapToGrid/>
        <w:spacing w:before="0" w:after="0" w:line="480" w:lineRule="exact"/>
        <w:jc w:val="center"/>
        <w:textAlignment w:val="auto"/>
        <w:rPr>
          <w:rFonts w:hint="eastAsia" w:ascii="方正小标宋简体" w:hAnsi="方正小标宋简体" w:eastAsia="方正小标宋简体" w:cs="方正小标宋简体"/>
          <w:b w:val="0"/>
          <w:kern w:val="2"/>
          <w:sz w:val="36"/>
          <w:szCs w:val="36"/>
          <w:lang w:val="en-US" w:eastAsia="zh-CN" w:bidi="ar-SA"/>
        </w:rPr>
      </w:pPr>
      <w:r>
        <w:rPr>
          <w:rFonts w:hint="eastAsia" w:ascii="方正小标宋简体" w:hAnsi="方正小标宋简体" w:eastAsia="方正小标宋简体" w:cs="方正小标宋简体"/>
          <w:b w:val="0"/>
          <w:kern w:val="2"/>
          <w:sz w:val="36"/>
          <w:szCs w:val="36"/>
          <w:lang w:val="en-US" w:eastAsia="zh-CN" w:bidi="ar-SA"/>
        </w:rPr>
        <w:t>化学品仓库搬迁及整改项目要求及相关技术参数</w:t>
      </w:r>
    </w:p>
    <w:p>
      <w:pPr>
        <w:pageBreakBefore w:val="0"/>
        <w:kinsoku/>
        <w:wordWrap/>
        <w:overflowPunct/>
        <w:topLinePunct w:val="0"/>
        <w:autoSpaceDE/>
        <w:autoSpaceDN/>
        <w:bidi w:val="0"/>
        <w:adjustRightInd/>
        <w:snapToGrid/>
        <w:spacing w:line="480" w:lineRule="exact"/>
        <w:textAlignment w:val="auto"/>
        <w:rPr>
          <w:rFonts w:hint="eastAsia" w:ascii="方正小标宋简体" w:hAnsi="方正小标宋简体" w:eastAsia="方正小标宋简体" w:cs="方正小标宋简体"/>
          <w:b w:val="0"/>
          <w:kern w:val="2"/>
          <w:sz w:val="36"/>
          <w:szCs w:val="36"/>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本项目主要内容为省锅检院金山大楼（以下简称特检大楼）易制毒化学品仓库的搬迁及整改工作，除以下提及的主要技术参数及相关要求外，所有项目均必须符合易制毒化学品管理之相关规定，</w:t>
      </w:r>
      <w:r>
        <w:rPr>
          <w:rFonts w:hint="eastAsia" w:ascii="仿宋_GB2312" w:hAnsi="仿宋_GB2312" w:eastAsia="仿宋_GB2312" w:cs="仿宋_GB2312"/>
          <w:b/>
          <w:bCs/>
          <w:kern w:val="2"/>
          <w:sz w:val="32"/>
          <w:szCs w:val="32"/>
          <w:lang w:val="en-US" w:eastAsia="zh-CN" w:bidi="ar-SA"/>
        </w:rPr>
        <w:t>各项整改以通过福州市公安局仓山区禁毒大队的易制毒化学品仓库验收为最终目的，也是项目验收必备条件之一。</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具体要求及相关技术参数如下：</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黑体" w:hAnsi="黑体" w:eastAsia="黑体" w:cs="黑体"/>
          <w:b w:val="0"/>
          <w:bCs w:val="0"/>
          <w:kern w:val="2"/>
          <w:sz w:val="32"/>
          <w:szCs w:val="32"/>
          <w:lang w:val="en-US" w:eastAsia="zh-CN" w:bidi="ar-SA"/>
        </w:rPr>
        <w:t>一、特检大楼501实验室大门改造</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拆除原有大门，更换符合易制毒化学品仓库相关要求的抗爆门。抗爆门的基本技术要求（至少满足）如下：</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1.规格尺寸：900mm*2100mm，单门平开。</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2.材料要求：门框总厚120mm，采用壁厚≥1.5㎜镀锌钢折弯；门扇总厚≥75mm，采用≥1.5mm厚钢板加≥50㎜*70㎜*2.0㎜方钢管骨架（填充防火岩棉）加≥1.5mm厚钢板。</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3.附件要求：配置逃生锁，配置双人双锁，配置特种铰链等五金配件。</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4.执行标准：抗爆门设计、制造、安装应符合《14J938-抗爆、泄爆门窗及屋盖、墙体建筑构造图集》中B型钢制抗爆门要求；抗爆门产品经国家安全部门检验合格。</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质量要求：抗爆门应焊接牢固，焊点分布均匀，不得出现假焊和烧穿现象。外表面的焊点、焊渣、划痕等杂质应打磨平整。涂层均匀、平整、光滑、不得有堆积、麻点、气泡、漏涂等现象。门框、门扇表面应无明显凹凸、擦痕、划伤等缺陷。</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6.所有物品必须按标准图集及编号加工，附带产品检验合格证、有资质单位出具的防爆检测报告、铭牌。</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二、配备并安装易制毒化学品专用柜2个</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易制毒化学品专用基本技术要求（至少满足）如下：</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产品符合Q/320205  XBB001-2014标准，具有防爆、防盗、阻燃、耐腐蚀、通风等功能。</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1.容量：60加仑；门型：双门手动；颜色：蓝色1个，黄色1个；壳体全部采用≥1.2mm 的冷轧钢板，柜体底座采用≥2.0mm 的冷轧钢板, 内外表面经酸洗磷化环氧树脂粉末喷涂，烘热固化处理。        </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2.柜体内胆（上，下、左、右内衬板）全部采用瓷白 pp（聚丙烯树脂）板；柜底侧面设可调进风口，有不锈钢可调风阀；柜体内部最下层留有可以存放不少于 120mm 厚黄沙的填埋腔（漏液漕），用于埋放金属钠、黄磷（白磷）等的易燃物品，挡板应与柜体连为一体；柜底装有四个Φ50mm 的移动钢轮，便于易燃品毒害品储存柜移动；前轮有 2 个手动调节罗杆，方便易燃品毒害品储存柜定位。</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3.柜体设3个三层阶梯式的pp聚丙烯树脂活动搁板，层板采用进口耐腐瓷白PP，层板设有10MM的通气孔。</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4.柜顶部中间有Φ150mm 出风口，柜顶风口内置一个 AC220V、50HZ、0.18A 轴流风机，最大风量≥300m3/h、转速≥2550 转/min、适用环境温度（-10~+70）℃，控制开关设置于柜体顶部，</w:t>
      </w:r>
      <w:r>
        <w:rPr>
          <w:rFonts w:hint="eastAsia" w:ascii="仿宋_GB2312" w:hAnsi="仿宋_GB2312" w:eastAsia="仿宋_GB2312" w:cs="仿宋_GB2312"/>
          <w:b/>
          <w:bCs/>
          <w:kern w:val="2"/>
          <w:sz w:val="32"/>
          <w:szCs w:val="32"/>
          <w:lang w:val="en-US" w:eastAsia="zh-CN" w:bidi="ar-SA"/>
        </w:rPr>
        <w:t>出风口须与501实验室原有通风管路对接。</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5.防火材料: 柜体应填充具有保温隔热作用的防火材料陶瓷纤维。</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6.铰链：铰链应为钢琴式铰链，确保门能开180度。柜体门与柜体之间应安装防火膨胀密封件，密封件应符合 GB 16807-2009 的要求（柜体门与柜体之间应安装环保热膨胀密封条。当温度为 150℃-180℃时密封条局部膨胀，温度达到 750℃时密封条全部膨胀，膨胀比例为 1:5，以保证储存药品的安全性）。</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7.锁具:机械锁加电子密码锁，双人双锁配置，应符合GB 10409—2001中5.4的要求。</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8.电源: 应符合GB 10409-2001中5.5的要求。</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9.附加装置: 应符合GB 10409-2001中5.6的要求。</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10.通风控制装置:</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10.1 柜体底部应设置进风口及可调风阀，可调风阀灵活，并能控制风量大小；</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10.2 柜体应设置通风口，通风口最风速应不小于 0.5m/s；</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10.3 通风管道口径宜采用Φ160mm，通风管应耐高温、阻燃、耐腐蚀，符合 JGJ 141 的要求。</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11.特殊安全性要求: 机械锁钥匙、电子密码锁密码由两人分别保管时，两人同时在场才可开启柜门。</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温湿度控制报警装置:柜体顶上应配置温湿度控制器，对柜内相对温湿度实时监控，数字显示设定和测量值，柜内的温湿度如超过设定的测量值即时报警提示。电源AC220V±10％50HZ,温度启控0~99.9℃（用户设定），湿度启控0~99.9％RH（用户设定）</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三、易制毒化学品仓库及相关实验室监控系统安装调试</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color w:val="333333"/>
          <w:sz w:val="32"/>
          <w:szCs w:val="32"/>
          <w:shd w:val="clear" w:color="auto" w:fill="FFFFFF"/>
        </w:rPr>
        <w:t>501门外及室内各加装一个摄像头</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金山大楼411水质实验室及408油质实验室两间主要实验室加装摄像头</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lang w:val="en-US" w:eastAsia="zh-CN"/>
        </w:rPr>
        <w:t>共计4个摄像头。摄像头技术参数及要求</w:t>
      </w:r>
      <w:r>
        <w:rPr>
          <w:rFonts w:hint="eastAsia" w:ascii="仿宋_GB2312" w:hAnsi="仿宋_GB2312" w:eastAsia="仿宋_GB2312" w:cs="仿宋_GB2312"/>
          <w:b w:val="0"/>
          <w:bCs w:val="0"/>
          <w:kern w:val="2"/>
          <w:sz w:val="32"/>
          <w:szCs w:val="32"/>
          <w:lang w:val="en-US" w:eastAsia="zh-CN" w:bidi="ar-SA"/>
        </w:rPr>
        <w:t>（至少满足）</w:t>
      </w:r>
      <w:r>
        <w:rPr>
          <w:rFonts w:hint="eastAsia" w:ascii="仿宋_GB2312" w:hAnsi="仿宋_GB2312" w:eastAsia="仿宋_GB2312" w:cs="仿宋_GB2312"/>
          <w:b w:val="0"/>
          <w:bCs w:val="0"/>
          <w:color w:val="333333"/>
          <w:sz w:val="32"/>
          <w:szCs w:val="32"/>
          <w:shd w:val="clear" w:color="auto" w:fill="FFFFFF"/>
          <w:lang w:val="en-US" w:eastAsia="zh-CN"/>
        </w:rPr>
        <w:t>如下：</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1.1 支持深度学习算法，提供精准的人车分类侦测、报警、联动跟踪；支持双路区域入侵侦测、越界侦测、进入区域侦测和离开区域侦等智能侦测，并联动跟踪；支持同时检测5张人脸，支持对运动人脸进行检测、跟踪、抓拍评分、筛选，输出最优的人脸抓图；</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 内置加热玻璃功能，可有效除雾；</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1.3 全景支持最大1920x1080@30fps高清画面输出，细节支持最大1920x1080@30fps高清画面输出；全景采用可见光补光30m，同时细节采用高效红外阵列，低功耗，照射距离最远可达150m；支持23倍光学变倍，16倍数字变倍；</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1.4 支持三码流技术，每路码流可独立配置分辨率及帧率；码流平滑设置，适应不同场景下对图像质量、流畅性的不同要求；支持低码率、低延时、ROI感兴趣区域增强编码；支持隐私遮蔽颜色和马赛克配置；</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1.5 支持GBK字库，支持更多汉字及生僻字叠加；支持SVC自适应编码技术；</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1.6 支持超低照度，[全景] 0.0005 Lux @ (F1.0,AGC ON)，0Lux with light,[细节] 0.005Lux @(F1.6，AGC ON),黑白:0.001Lux @(F1.6，AGC ON)；</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1.7 支持3D数字降噪,支持120dB宽动态；支持多播功能；支持选配GB35114安全加密；支持OSD颜色自选；支持无插件Mac下的Safari浏览器的需求；支持海康SDK、开放型网络视频接口、ISAPI、GB/T28181、ISUP、莹石；支持欠压检测；支持定时抓图与事件抓图功能。</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3"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2.其他网络硬件技术参数及要求（至少满足）如下：</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2.1 交换机1台：管理型POE交换机，12个千兆POE电口，2个千兆SFP光口，支持IEEE 802.3af/at供电标准，单端口最大输出功率30W，整机最大输出功率370W；交换容量336Gbps，包转发率96Mpps；支持全端口线速转发；</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2.2 硬盘录像机1台：支持HDMI 4K超高清输出，并支持HDMI/VGA同异源可配；平台接入协议支持萤石、Ehome、ISUP5.0以及GB28181协议；支持1个HDMMI4K输出 ，1个VGA高清1080P输出，同/异源可手动切换；支持12路1080P解码(开启SVC增强模式后，可提升至16路1080P解码）；支持H.265、H.264混合解码，最大支持接入8MP高清IPC；2个千兆网口，16进4出报警2个USB2.0接口 (前置) ，1个USB3.0接口 (后置)；</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2.3 监控硬盘4个：监控级机械硬盘，6T容量，7200转；</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2.4 网络线3捆：超五类工程线，305米/捆；</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kern w:val="2"/>
          <w:sz w:val="32"/>
          <w:szCs w:val="32"/>
          <w:lang w:val="en-US" w:eastAsia="zh-CN" w:bidi="ar-SA"/>
        </w:rPr>
        <w:t xml:space="preserve">2.5 </w:t>
      </w:r>
      <w:r>
        <w:rPr>
          <w:rFonts w:hint="eastAsia" w:ascii="仿宋_GB2312" w:hAnsi="仿宋_GB2312" w:eastAsia="仿宋_GB2312" w:cs="仿宋_GB2312"/>
          <w:b w:val="0"/>
          <w:bCs w:val="0"/>
          <w:color w:val="333333"/>
          <w:sz w:val="32"/>
          <w:szCs w:val="32"/>
          <w:shd w:val="clear" w:color="auto" w:fill="FFFFFF"/>
        </w:rPr>
        <w:t>监控数据</w:t>
      </w:r>
      <w:r>
        <w:rPr>
          <w:rFonts w:hint="eastAsia" w:ascii="仿宋_GB2312" w:hAnsi="仿宋_GB2312" w:eastAsia="仿宋_GB2312" w:cs="仿宋_GB2312"/>
          <w:b w:val="0"/>
          <w:bCs w:val="0"/>
          <w:color w:val="333333"/>
          <w:sz w:val="32"/>
          <w:szCs w:val="32"/>
          <w:shd w:val="clear" w:color="auto" w:fill="FFFFFF"/>
          <w:lang w:val="en-US" w:eastAsia="zh-CN"/>
        </w:rPr>
        <w:t>接入大楼安保系统，</w:t>
      </w:r>
      <w:r>
        <w:rPr>
          <w:rFonts w:hint="eastAsia" w:ascii="仿宋_GB2312" w:hAnsi="仿宋_GB2312" w:eastAsia="仿宋_GB2312" w:cs="仿宋_GB2312"/>
          <w:b w:val="0"/>
          <w:bCs w:val="0"/>
          <w:color w:val="333333"/>
          <w:sz w:val="32"/>
          <w:szCs w:val="32"/>
          <w:shd w:val="clear" w:color="auto" w:fill="FFFFFF"/>
        </w:rPr>
        <w:t>要求</w:t>
      </w:r>
      <w:r>
        <w:rPr>
          <w:rFonts w:hint="eastAsia" w:ascii="仿宋_GB2312" w:hAnsi="仿宋_GB2312" w:eastAsia="仿宋_GB2312" w:cs="仿宋_GB2312"/>
          <w:b w:val="0"/>
          <w:bCs w:val="0"/>
          <w:color w:val="333333"/>
          <w:sz w:val="32"/>
          <w:szCs w:val="32"/>
          <w:shd w:val="clear" w:color="auto" w:fill="FFFFFF"/>
          <w:lang w:val="en-US" w:eastAsia="zh-CN"/>
        </w:rPr>
        <w:t>能回看</w:t>
      </w:r>
      <w:r>
        <w:rPr>
          <w:rFonts w:hint="eastAsia" w:ascii="仿宋_GB2312" w:hAnsi="仿宋_GB2312" w:eastAsia="仿宋_GB2312" w:cs="仿宋_GB2312"/>
          <w:b w:val="0"/>
          <w:bCs w:val="0"/>
          <w:color w:val="333333"/>
          <w:sz w:val="32"/>
          <w:szCs w:val="32"/>
          <w:shd w:val="clear" w:color="auto" w:fill="FFFFFF"/>
        </w:rPr>
        <w:t>至少3个月。</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四、501原有仪器设备搬迁</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1.501所有仪器设备迁移至414，</w:t>
      </w:r>
      <w:bookmarkStart w:id="0" w:name="_GoBack"/>
      <w:bookmarkEnd w:id="0"/>
      <w:r>
        <w:rPr>
          <w:rFonts w:hint="eastAsia" w:ascii="仿宋_GB2312" w:hAnsi="仿宋_GB2312" w:eastAsia="仿宋_GB2312" w:cs="仿宋_GB2312"/>
          <w:b w:val="0"/>
          <w:bCs w:val="0"/>
          <w:color w:val="333333"/>
          <w:sz w:val="32"/>
          <w:szCs w:val="32"/>
          <w:shd w:val="clear" w:color="auto" w:fill="FFFFFF"/>
          <w:lang w:val="en-US" w:eastAsia="zh-CN"/>
        </w:rPr>
        <w:t>落地固定、连接电源等。</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2.滤膜(滤筒)平衡称重装置须约请该设备原厂家青岛众瑞智能仪器有限公司工程师上门拆装调试。</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五、501玻璃窗加装防盗栏杆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所有玻璃窗加装防盗栏杆，报价应包含材料费及人工费等所有相关费用。</w:t>
      </w:r>
    </w:p>
    <w:p>
      <w:pPr>
        <w:keepNext w:val="0"/>
        <w:keepLines w:val="0"/>
        <w:pageBreakBefore w:val="0"/>
        <w:widowControl/>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六、制作并粘贴安全警示标识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1.501仓库大门上须粘贴易制毒化学品库房标识及安全警示标识。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2.易制毒化学品柜柜门上须粘贴所存储的易制毒化学品信息及安全警示标识（硫酸、盐酸、甲苯、乙醚、丙酮、高锰酸钾）。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lang w:val="en-US" w:eastAsia="zh-CN"/>
        </w:rPr>
        <w:t>3.易制毒化学品柜管理制度，防火安全制度等制作上墙。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Autospacing="0" w:line="480" w:lineRule="exact"/>
        <w:ind w:firstLine="640" w:firstLineChars="200"/>
        <w:jc w:val="left"/>
        <w:textAlignment w:val="auto"/>
        <w:rPr>
          <w:rFonts w:hint="eastAsia" w:ascii="仿宋_GB2312" w:hAnsi="仿宋_GB2312" w:eastAsia="仿宋_GB2312" w:cs="仿宋_GB2312"/>
          <w:b w:val="0"/>
          <w:bCs w:val="0"/>
          <w:color w:val="333333"/>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622472-2B1E-418A-B90F-ADB08139EB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3A4E46B1-EBA8-4E10-8AFE-87782A17BFF7}"/>
  </w:font>
  <w:font w:name="仿宋_GB2312">
    <w:panose1 w:val="02010609030101010101"/>
    <w:charset w:val="86"/>
    <w:family w:val="modern"/>
    <w:pitch w:val="default"/>
    <w:sig w:usb0="00000001" w:usb1="080E0000" w:usb2="00000000" w:usb3="00000000" w:csb0="00040000" w:csb1="00000000"/>
    <w:embedRegular r:id="rId3" w:fontKey="{E55C573F-98B7-4AB2-88D6-2FB16ED6DF7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3804725C"/>
    <w:rsid w:val="3804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2642</Words>
  <Characters>3187</Characters>
  <Lines>0</Lines>
  <Paragraphs>0</Paragraphs>
  <TotalTime>12</TotalTime>
  <ScaleCrop>false</ScaleCrop>
  <LinksUpToDate>false</LinksUpToDate>
  <CharactersWithSpaces>3260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2023-06-19T08:58:00Z</dcterms:created>
  <dc:creator>高燕清</dc:creator>
  <cp:lastModifiedBy>高燕清</cp:lastModifiedBy>
  <dcterms:modified xsi:type="dcterms:W3CDTF">2023-06-19T09:11:14Z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DDED1A508BE7464E958E3A69E6168989_11</vt:lpwstr>
  </property>
</Properties>
</file>