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说明：报价包括本采购项目所涉及的有关一切费用，包括但不限于设备费、耗材费、运输费、定制加工费、测试验证费、租借井道费、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调试费、人工费、税费以及有关的所有费用。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EwMjA2ZDU5MDQzMjBjZTQ0ODJjNzU4ODA1ZDQifQ=="/>
  </w:docVars>
  <w:rsids>
    <w:rsidRoot w:val="557F0803"/>
    <w:rsid w:val="05A74E52"/>
    <w:rsid w:val="1C74135E"/>
    <w:rsid w:val="34C27C83"/>
    <w:rsid w:val="557F0803"/>
    <w:rsid w:val="5BC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dcterms:modified xsi:type="dcterms:W3CDTF">2024-01-26T07:44:10Z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5948D47E4A8C4AD0802E39FFD0ED1D43_11</vt:lpwstr>
  </property>
</Properties>
</file>